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6" w:name="_GoBack"/>
      <w:bookmarkEnd w:id="6"/>
    </w:p>
    <w:p>
      <w:pPr>
        <w:widowControl w:val="0"/>
        <w:autoSpaceDE w:val="0"/>
        <w:autoSpaceDN w:val="0"/>
        <w:jc w:val="right"/>
        <w:rPr>
          <w:b/>
          <w:sz w:val="22"/>
          <w:szCs w:val="20"/>
        </w:rPr>
      </w:pPr>
      <w:r>
        <w:rPr>
          <w:b/>
          <w:sz w:val="22"/>
          <w:szCs w:val="20"/>
        </w:rPr>
        <w:t>УТВЕРЖДЕНО</w:t>
      </w:r>
    </w:p>
    <w:p>
      <w:pPr>
        <w:widowControl w:val="0"/>
        <w:autoSpaceDE w:val="0"/>
        <w:autoSpaceDN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промышленности и торговли </w:t>
      </w:r>
    </w:p>
    <w:p>
      <w:pPr>
        <w:widowControl w:val="0"/>
        <w:autoSpaceDE w:val="0"/>
        <w:autoSpaceDN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от 06.05.2025 № 117</w:t>
      </w:r>
    </w:p>
    <w:p>
      <w:pPr>
        <w:pStyle w:val="19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9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9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областного конкурса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Лучшая разноформатная торговля в Новгородской области - 2025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»</w:t>
      </w:r>
    </w:p>
    <w:p>
      <w:pPr>
        <w:pStyle w:val="19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19"/>
        <w:spacing w:line="240" w:lineRule="exac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Общие положения</w:t>
      </w:r>
    </w:p>
    <w:p>
      <w:pPr>
        <w:pStyle w:val="19"/>
        <w:spacing w:line="240" w:lineRule="exac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0"/>
        <w:numPr>
          <w:ilvl w:val="1"/>
          <w:numId w:val="1"/>
        </w:numPr>
        <w:shd w:val="clear" w:color="auto" w:fill="auto"/>
        <w:tabs>
          <w:tab w:val="left" w:pos="726"/>
        </w:tabs>
        <w:spacing w:after="0" w:line="240" w:lineRule="auto"/>
        <w:ind w:left="4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проведения областного конкурса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«Лучшая разноформатная торговля в Новгородской области - 2025» </w:t>
      </w:r>
      <w:r>
        <w:rPr>
          <w:sz w:val="28"/>
          <w:szCs w:val="28"/>
        </w:rPr>
        <w:t xml:space="preserve">(далее Конкурс) для хозяйствующих субъектов (юридических лиц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индивидуальных предпринимателей), оказывающих услуги розничной торговли на территории Новгородской области (далее участник Конкурса). </w:t>
      </w:r>
    </w:p>
    <w:p>
      <w:pPr>
        <w:pStyle w:val="30"/>
        <w:numPr>
          <w:ilvl w:val="1"/>
          <w:numId w:val="1"/>
        </w:numPr>
        <w:shd w:val="clear" w:color="auto" w:fill="auto"/>
        <w:tabs>
          <w:tab w:val="left" w:pos="575"/>
        </w:tabs>
        <w:spacing w:after="0" w:line="240" w:lineRule="auto"/>
        <w:ind w:left="4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с целью выявления и популяризации достижений и лучших практик разноформатной региональной торговли. </w:t>
      </w:r>
    </w:p>
    <w:p>
      <w:pPr>
        <w:pStyle w:val="30"/>
        <w:numPr>
          <w:ilvl w:val="1"/>
          <w:numId w:val="1"/>
        </w:numPr>
        <w:shd w:val="clear" w:color="auto" w:fill="auto"/>
        <w:tabs>
          <w:tab w:val="left" w:pos="629"/>
        </w:tabs>
        <w:spacing w:after="0" w:line="240" w:lineRule="auto"/>
        <w:ind w:left="2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Участником Конкурса может быть любой хозяйствующий субъект, осуществляющий розничную торговлю на территории Новгородской области, независимо от типа организаций розничной торговли и формы собственности, классифицируемую в соответствии с классами 52 и 47 раздела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Общероссийского классификатора видов экономической деятельности, 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за исключением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 xml:space="preserve">победителей областных конкурсов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«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Лучшая разноформатная торговля в Новгородской области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» за весь период проведения (2020-2024гг). </w:t>
      </w:r>
    </w:p>
    <w:p>
      <w:pPr>
        <w:pStyle w:val="30"/>
        <w:shd w:val="clear" w:color="auto" w:fill="auto"/>
        <w:tabs>
          <w:tab w:val="left" w:pos="629"/>
        </w:tabs>
        <w:spacing w:after="0" w:line="240" w:lineRule="auto"/>
        <w:ind w:right="20" w:firstLine="0"/>
        <w:rPr>
          <w:sz w:val="28"/>
          <w:szCs w:val="28"/>
        </w:rPr>
      </w:pPr>
    </w:p>
    <w:p>
      <w:pPr>
        <w:pStyle w:val="30"/>
        <w:numPr>
          <w:ilvl w:val="0"/>
          <w:numId w:val="1"/>
        </w:numPr>
        <w:shd w:val="clear" w:color="auto" w:fill="auto"/>
        <w:tabs>
          <w:tab w:val="left" w:pos="294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и порядок проведения Конкурса</w:t>
      </w:r>
    </w:p>
    <w:p>
      <w:pPr>
        <w:pStyle w:val="30"/>
        <w:shd w:val="clear" w:color="auto" w:fill="auto"/>
        <w:tabs>
          <w:tab w:val="left" w:pos="294"/>
        </w:tabs>
        <w:spacing w:after="0" w:line="240" w:lineRule="auto"/>
        <w:ind w:firstLine="0"/>
        <w:rPr>
          <w:sz w:val="28"/>
          <w:szCs w:val="28"/>
        </w:rPr>
      </w:pPr>
    </w:p>
    <w:p>
      <w:pPr>
        <w:pStyle w:val="30"/>
        <w:numPr>
          <w:ilvl w:val="1"/>
          <w:numId w:val="1"/>
        </w:numPr>
        <w:shd w:val="clear" w:color="auto" w:fill="auto"/>
        <w:tabs>
          <w:tab w:val="left" w:pos="294"/>
        </w:tabs>
        <w:spacing w:after="0" w:line="240" w:lineRule="auto"/>
        <w:ind w:left="0" w:firstLine="709"/>
        <w:rPr>
          <w:b/>
          <w:sz w:val="28"/>
          <w:szCs w:val="28"/>
        </w:rPr>
      </w:pPr>
      <w:r>
        <w:rPr>
          <w:sz w:val="28"/>
          <w:szCs w:val="28"/>
        </w:rPr>
        <w:t>Конкурс проводится с 07.05.2025 по 07.07.2025 в два этапа:</w:t>
      </w:r>
    </w:p>
    <w:p>
      <w:pPr>
        <w:pStyle w:val="30"/>
        <w:numPr>
          <w:ilvl w:val="2"/>
          <w:numId w:val="2"/>
        </w:numPr>
        <w:shd w:val="clear" w:color="auto" w:fill="auto"/>
        <w:tabs>
          <w:tab w:val="left" w:pos="294"/>
        </w:tabs>
        <w:spacing w:after="0" w:line="240" w:lineRule="auto"/>
        <w:ind w:left="0" w:firstLine="709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Первый этап</w:t>
      </w:r>
      <w:r>
        <w:rPr>
          <w:sz w:val="28"/>
          <w:szCs w:val="28"/>
        </w:rPr>
        <w:t xml:space="preserve"> Конкурса проходит на муниципальном (городском, районном, окружном) уровне. </w:t>
      </w:r>
    </w:p>
    <w:p>
      <w:pPr>
        <w:pStyle w:val="30"/>
        <w:shd w:val="clear" w:color="auto" w:fill="auto"/>
        <w:tabs>
          <w:tab w:val="left" w:pos="1016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Конкурса администрациями городского округа, муниципальных районов, муниципальных округов Новгородской области обеспечивается информирование о проведении Конкурса и сбор заявок участников Конкурса в период с 07.05.2025 по 30.05.2025. </w:t>
      </w:r>
    </w:p>
    <w:p>
      <w:pPr>
        <w:pStyle w:val="30"/>
        <w:shd w:val="clear" w:color="auto" w:fill="auto"/>
        <w:tabs>
          <w:tab w:val="left" w:pos="1016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 xml:space="preserve">комиссии </w:t>
      </w:r>
      <w:r>
        <w:rPr>
          <w:sz w:val="28"/>
          <w:szCs w:val="28"/>
        </w:rPr>
        <w:t xml:space="preserve">для рассмотрения заявок участников Конкурса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подведения итогов первого этапа Конкурса утверждается муниципальным правовым актом администрации городского округа, муниципальных районов, муниципальных округов Новгородской области (далее </w:t>
      </w:r>
      <w:r>
        <w:rPr>
          <w:bCs/>
          <w:sz w:val="28"/>
          <w:szCs w:val="28"/>
        </w:rPr>
        <w:t>муниципальная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комиссия). Итоги первого этапа Конкурса подводятся до 16.06.2025.</w:t>
      </w:r>
    </w:p>
    <w:p>
      <w:pPr>
        <w:pStyle w:val="30"/>
        <w:numPr>
          <w:ilvl w:val="2"/>
          <w:numId w:val="2"/>
        </w:numPr>
        <w:shd w:val="clear" w:color="auto" w:fill="auto"/>
        <w:tabs>
          <w:tab w:val="left" w:pos="1016"/>
        </w:tabs>
        <w:spacing w:after="0" w:line="240" w:lineRule="auto"/>
        <w:ind w:left="0" w:right="20"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Второй этап</w:t>
      </w:r>
      <w:r>
        <w:rPr>
          <w:sz w:val="28"/>
          <w:szCs w:val="28"/>
        </w:rPr>
        <w:t xml:space="preserve"> Конкурса проводит государственное областное автономное учреждение «Новгородский центр развития инноваций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и промышленности» (далее ГОАУ «ЦИП») при поддержке министерства промышленности и торговли Новгородской области (далее министерство). </w:t>
      </w:r>
    </w:p>
    <w:p>
      <w:pPr>
        <w:pStyle w:val="30"/>
        <w:shd w:val="clear" w:color="auto" w:fill="auto"/>
        <w:tabs>
          <w:tab w:val="left" w:pos="822"/>
        </w:tabs>
        <w:spacing w:after="0" w:line="240" w:lineRule="auto"/>
        <w:ind w:right="20" w:firstLine="709"/>
        <w:rPr>
          <w:sz w:val="28"/>
          <w:szCs w:val="28"/>
        </w:rPr>
      </w:pPr>
    </w:p>
    <w:p>
      <w:pPr>
        <w:pStyle w:val="30"/>
        <w:shd w:val="clear" w:color="auto" w:fill="auto"/>
        <w:tabs>
          <w:tab w:val="left" w:pos="822"/>
        </w:tabs>
        <w:spacing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 </w:t>
      </w:r>
      <w:r>
        <w:rPr>
          <w:bCs/>
          <w:sz w:val="28"/>
          <w:szCs w:val="28"/>
        </w:rPr>
        <w:t xml:space="preserve">областной комиссии Конкурса для рассмотрения заявок победителей первого этапа и подведения итогов второго этапа Конкурса утверждается приказом министерства. </w:t>
      </w:r>
      <w:r>
        <w:rPr>
          <w:sz w:val="28"/>
          <w:szCs w:val="28"/>
        </w:rPr>
        <w:t>Итоги второго этапа Конкурса подводятся по представленным материалам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администраций городского округа, муниципальных районов, муниципальных округов Новгородской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до 01.07.2025.</w:t>
      </w:r>
    </w:p>
    <w:p>
      <w:pPr>
        <w:pStyle w:val="30"/>
        <w:numPr>
          <w:ilvl w:val="1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номинациям: 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продовольственный магазин;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непродовольственный магазин;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магазин смешанной торговли;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специализированный магазин;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сельский магазин;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фирменный магазин местного товаропроизводителя;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нестационарный объект торговли;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Лучший автомагазин (торговый автофургон, автолавка); 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Лучший нестационарный торговый объект по распространению печатной продукции;</w:t>
      </w:r>
    </w:p>
    <w:p>
      <w:pPr>
        <w:pStyle w:val="24"/>
        <w:numPr>
          <w:ilvl w:val="0"/>
          <w:numId w:val="3"/>
        </w:numPr>
        <w:tabs>
          <w:tab w:val="left" w:pos="426"/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Мой любимый магазин.</w:t>
      </w:r>
    </w:p>
    <w:p>
      <w:pPr>
        <w:pStyle w:val="24"/>
        <w:widowControl w:val="0"/>
        <w:numPr>
          <w:ilvl w:val="1"/>
          <w:numId w:val="1"/>
        </w:numPr>
        <w:tabs>
          <w:tab w:val="left" w:pos="1418"/>
        </w:tabs>
        <w:ind w:left="0" w:right="2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определяются среди участников Конкурса, осуществляющих лучшую практику розничной продажи товаров на территории муниципальных образований Новгородской области согласно номинациям:</w:t>
      </w:r>
    </w:p>
    <w:p>
      <w:pPr>
        <w:pStyle w:val="24"/>
        <w:widowControl w:val="0"/>
        <w:tabs>
          <w:tab w:val="left" w:pos="1418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</w:t>
      </w:r>
      <w:r>
        <w:t xml:space="preserve"> </w:t>
      </w:r>
      <w:r>
        <w:rPr>
          <w:b/>
          <w:bCs/>
          <w:sz w:val="28"/>
          <w:szCs w:val="28"/>
        </w:rPr>
        <w:t>Лучший продовольственный магазин</w:t>
      </w:r>
      <w:r>
        <w:rPr>
          <w:sz w:val="28"/>
          <w:szCs w:val="28"/>
        </w:rPr>
        <w:t xml:space="preserve"> </w:t>
      </w:r>
      <w:bookmarkStart w:id="0" w:name="_Hlk194501471"/>
      <w:r>
        <w:rPr>
          <w:sz w:val="28"/>
          <w:szCs w:val="28"/>
        </w:rPr>
        <w:t xml:space="preserve">– </w:t>
      </w:r>
      <w:bookmarkEnd w:id="0"/>
      <w:bookmarkStart w:id="1" w:name="_Hlk196127106"/>
      <w:bookmarkStart w:id="2" w:name="_Hlk194499797"/>
      <w:r>
        <w:rPr>
          <w:sz w:val="28"/>
          <w:szCs w:val="28"/>
        </w:rPr>
        <w:t>вид стационарного объекта торговли по реализации</w:t>
      </w:r>
      <w:bookmarkEnd w:id="1"/>
      <w:r>
        <w:rPr>
          <w:sz w:val="28"/>
          <w:szCs w:val="28"/>
        </w:rPr>
        <w:t xml:space="preserve"> </w:t>
      </w:r>
      <w:bookmarkEnd w:id="2"/>
      <w:r>
        <w:rPr>
          <w:sz w:val="28"/>
          <w:szCs w:val="28"/>
        </w:rPr>
        <w:t>продовольственной группы товаров (крупы и злаки, молочные продукты, мясо и мясные продукты, фрукты и овощи, хлеб и хлебобулочные изделия, консервированные продукты, напитки, кондитерские изделия);</w:t>
      </w:r>
    </w:p>
    <w:p>
      <w:pPr>
        <w:pStyle w:val="24"/>
        <w:widowControl w:val="0"/>
        <w:tabs>
          <w:tab w:val="left" w:pos="1418"/>
        </w:tabs>
        <w:ind w:left="0"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</w:t>
      </w:r>
      <w:r>
        <w:t xml:space="preserve"> </w:t>
      </w:r>
      <w:r>
        <w:rPr>
          <w:b/>
          <w:bCs/>
          <w:sz w:val="28"/>
          <w:szCs w:val="28"/>
        </w:rPr>
        <w:t>Лучший непродовольственный магазин</w:t>
      </w:r>
      <w:r>
        <w:rPr>
          <w:sz w:val="28"/>
          <w:szCs w:val="28"/>
        </w:rPr>
        <w:t xml:space="preserve"> – вид стационарного объекта торговли по реализации непродовольственной группы товаров (бытовая химия; изделия из стекла и керамики; стройматериалы; одежда и обувь; игрушки; текстиль; спортинвентарь; мебель; ювелирные изделия и часы; косметика и парфюмерия; канцтовары и школьно-письменные принадлежности; бумага и изделия из нее; книжная и печатная продукция, прочее);</w:t>
      </w:r>
    </w:p>
    <w:p>
      <w:pPr>
        <w:pStyle w:val="24"/>
        <w:widowControl w:val="0"/>
        <w:tabs>
          <w:tab w:val="left" w:pos="1418"/>
        </w:tabs>
        <w:ind w:left="0" w:right="2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2.3.3. </w:t>
      </w:r>
      <w:r>
        <w:rPr>
          <w:b/>
          <w:bCs/>
          <w:sz w:val="28"/>
          <w:szCs w:val="28"/>
        </w:rPr>
        <w:t xml:space="preserve">Лучший магазин смешанной торговли </w:t>
      </w:r>
      <w:r>
        <w:rPr>
          <w:sz w:val="28"/>
          <w:szCs w:val="28"/>
        </w:rPr>
        <w:t xml:space="preserve">– вид стационарного объекта торговли по реализации отдельных видов продовольственных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 непродовольственных товаров (смешанного ассортимента товаров);</w:t>
      </w:r>
    </w:p>
    <w:p>
      <w:pPr>
        <w:pStyle w:val="24"/>
        <w:widowControl w:val="0"/>
        <w:tabs>
          <w:tab w:val="left" w:pos="1418"/>
        </w:tabs>
        <w:ind w:left="0" w:right="2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2.3.4. </w:t>
      </w:r>
      <w:r>
        <w:rPr>
          <w:b/>
          <w:bCs/>
          <w:sz w:val="28"/>
          <w:szCs w:val="28"/>
        </w:rPr>
        <w:t>Лучший специализированный магазин</w:t>
      </w:r>
      <w:r>
        <w:rPr>
          <w:sz w:val="28"/>
          <w:szCs w:val="28"/>
        </w:rPr>
        <w:t xml:space="preserve"> – вид стационарного объекта торговли по реализации товаров одной группы или ее части: продовольственных групп («рыба», «мясо», «колбасы», «минеральные воды», «хлеб», «овощи-фрукты», прочее), непродовольственных групп («одежда», «обувь», «ткани», «мебель», «книги», «зоотовары», «семена», «цветы», прочее);</w:t>
      </w:r>
    </w:p>
    <w:p>
      <w:pPr>
        <w:pStyle w:val="24"/>
        <w:widowControl w:val="0"/>
        <w:tabs>
          <w:tab w:val="left" w:pos="1418"/>
        </w:tabs>
        <w:ind w:left="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2.3.5. </w:t>
      </w:r>
      <w:r>
        <w:rPr>
          <w:b/>
          <w:bCs/>
          <w:sz w:val="28"/>
          <w:szCs w:val="28"/>
        </w:rPr>
        <w:t>Лучший сельский магазин</w:t>
      </w:r>
      <w:r>
        <w:rPr>
          <w:sz w:val="28"/>
          <w:szCs w:val="28"/>
        </w:rPr>
        <w:t xml:space="preserve"> – вид стационарного объекта торговли по реализации продовольственной группы и/или непродовольственной группы товаров в сельской местности;</w:t>
      </w:r>
    </w:p>
    <w:p>
      <w:pPr>
        <w:pStyle w:val="24"/>
        <w:widowControl w:val="0"/>
        <w:tabs>
          <w:tab w:val="left" w:pos="1418"/>
        </w:tabs>
        <w:ind w:left="0" w:right="2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2.3.6. </w:t>
      </w:r>
      <w:r>
        <w:rPr>
          <w:b/>
          <w:bCs/>
          <w:sz w:val="28"/>
          <w:szCs w:val="28"/>
        </w:rPr>
        <w:t>Лучший фирменный магазин местного товаропроизводителя</w:t>
      </w:r>
      <w:r>
        <w:rPr>
          <w:sz w:val="28"/>
          <w:szCs w:val="28"/>
        </w:rPr>
        <w:t xml:space="preserve"> – вид стационарного объекта торговли по реализации товаров новгородских производителей одной группы или ее части – продовольственной или непродовольственной;</w:t>
      </w:r>
    </w:p>
    <w:p>
      <w:pPr>
        <w:pStyle w:val="1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2.3.7. </w:t>
      </w:r>
      <w:r>
        <w:rPr>
          <w:rFonts w:ascii="Times New Roman" w:hAnsi="Times New Roman" w:cs="Times New Roman"/>
          <w:b/>
          <w:bCs/>
          <w:sz w:val="28"/>
          <w:szCs w:val="28"/>
        </w:rPr>
        <w:t>Лучший нестационарный объект торговли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вид нестационарного объекта торговли по реализации продовольственной и/или непродовольственной группы товаров, расположенных согласно утвержденному архитектурному решению и схемам размещения нестационарных торговых объектов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улицах населенных пунктов в соответствии с дизайн-кодом;</w:t>
      </w:r>
    </w:p>
    <w:p>
      <w:pPr>
        <w:pStyle w:val="24"/>
        <w:widowControl w:val="0"/>
        <w:tabs>
          <w:tab w:val="left" w:pos="1418"/>
        </w:tabs>
        <w:ind w:left="0" w:right="2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2.3.8.</w:t>
      </w:r>
      <w:r>
        <w:rPr>
          <w:spacing w:val="-46"/>
          <w:position w:val="8"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Лучший автомагазин (торговый автофургон, автолавка)</w:t>
      </w:r>
      <w:r>
        <w:rPr>
          <w:sz w:val="28"/>
          <w:szCs w:val="28"/>
        </w:rPr>
        <w:t xml:space="preserve"> – вид нестационарного объекта торговли по реализации продовольственной и/или непродовольственной группы товаров с использованием автотранспортного средства (прицеп, полуприцеп) с размещенным в кузове торгового оборудования при условии образования в результате его остановки или (установки) одного или нескольких рабочих мест продавцов, в котором осуществляется предложение товаров, их отпуск и расчет с покупателями; </w:t>
      </w:r>
    </w:p>
    <w:p>
      <w:pPr>
        <w:pStyle w:val="24"/>
        <w:widowControl w:val="0"/>
        <w:tabs>
          <w:tab w:val="left" w:pos="1418"/>
        </w:tabs>
        <w:ind w:left="0" w:right="2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2.3.9. </w:t>
      </w:r>
      <w:r>
        <w:rPr>
          <w:b/>
          <w:bCs/>
          <w:sz w:val="28"/>
          <w:szCs w:val="28"/>
        </w:rPr>
        <w:t>Лучший нестационарный торговый объект по распространению печатной продукции</w:t>
      </w:r>
      <w:r>
        <w:rPr>
          <w:sz w:val="28"/>
          <w:szCs w:val="28"/>
        </w:rPr>
        <w:t xml:space="preserve"> – вид нестационарного объекта торговли по реализации печатной продукции через специализированные нестационарные торговые объекты в формате киосков и павильонов;</w:t>
      </w:r>
    </w:p>
    <w:p>
      <w:pPr>
        <w:pStyle w:val="24"/>
        <w:widowControl w:val="0"/>
        <w:tabs>
          <w:tab w:val="left" w:pos="1418"/>
        </w:tabs>
        <w:ind w:left="0" w:right="20" w:firstLine="851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2.3.10. В номинации «</w:t>
      </w:r>
      <w:r>
        <w:rPr>
          <w:b/>
          <w:bCs/>
          <w:sz w:val="28"/>
          <w:szCs w:val="28"/>
        </w:rPr>
        <w:t>Мой любимый магазин»</w:t>
      </w:r>
      <w:r>
        <w:rPr>
          <w:sz w:val="28"/>
          <w:szCs w:val="28"/>
        </w:rPr>
        <w:t xml:space="preserve"> победитель определяется среди участников второго этапа Конкурса, за исключением победителей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 номинациях, определенных пунктами 2.3.1. – 2.3.9. настоящего Положения путем интернет-голосования на платформе обратной связи (далее ПОС) портала «Госуслуги».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</w:t>
      </w:r>
      <w:r>
        <w:rPr>
          <w:rFonts w:eastAsia="Calibri"/>
          <w:spacing w:val="-6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Информация о проведении Конкурса и условиях участия,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о победителях муниципальных и областного этапов, а также награждении участников Конкурса размещается на официальных сайтах и в социальных сетях: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2.4.1. министерства промышленности и торговли Новгородской области и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ГОАУ «ЦИП»;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2.4.2. администраций городского округа, муниципальных районов, муниципальных округов Новгородской области.</w:t>
      </w:r>
    </w:p>
    <w:p>
      <w:pPr>
        <w:widowControl w:val="0"/>
        <w:tabs>
          <w:tab w:val="left" w:pos="8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 Для участия в Конкурсе необходимо направить в </w:t>
      </w:r>
      <w:r>
        <w:rPr>
          <w:rFonts w:eastAsia="Calibri"/>
          <w:color w:val="000000"/>
          <w:sz w:val="28"/>
          <w:szCs w:val="28"/>
          <w:lang w:eastAsia="en-US"/>
        </w:rPr>
        <w:t>администрацию городского округа, муниципальных районов, муниципальных округов Новгородской области</w:t>
      </w:r>
      <w:r>
        <w:rPr>
          <w:rFonts w:eastAsia="Calibri"/>
          <w:sz w:val="28"/>
          <w:szCs w:val="28"/>
          <w:lang w:eastAsia="en-US"/>
        </w:rPr>
        <w:t xml:space="preserve"> в срок до 30.05.2025 следующие документы:</w:t>
      </w:r>
    </w:p>
    <w:p>
      <w:pPr>
        <w:pStyle w:val="24"/>
        <w:widowControl w:val="0"/>
        <w:tabs>
          <w:tab w:val="left" w:pos="822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2.5.1. заявку по форме согласно приложению №1 к настоящему Положению, с указанием номинации,</w:t>
      </w:r>
    </w:p>
    <w:p>
      <w:pPr>
        <w:widowControl w:val="0"/>
        <w:tabs>
          <w:tab w:val="left" w:pos="8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2.5.2. анкету участника Конкурса по форме согласно приложению №2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к заявке на участие в Конкурсе, с приложением не менее 10 подтверждающих фотоматериалов в электронном виде.</w:t>
      </w:r>
    </w:p>
    <w:p>
      <w:pPr>
        <w:widowControl w:val="0"/>
        <w:tabs>
          <w:tab w:val="left" w:pos="8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2.6. В случае необходимости, муниципальные и </w:t>
      </w:r>
      <w:r>
        <w:rPr>
          <w:rFonts w:eastAsia="Calibri"/>
          <w:bCs/>
          <w:sz w:val="28"/>
          <w:szCs w:val="28"/>
          <w:lang w:eastAsia="en-US"/>
        </w:rPr>
        <w:t xml:space="preserve">региональная </w:t>
      </w:r>
      <w:r>
        <w:rPr>
          <w:rFonts w:eastAsia="Calibri"/>
          <w:sz w:val="28"/>
          <w:szCs w:val="28"/>
          <w:lang w:eastAsia="en-US"/>
        </w:rPr>
        <w:t>комиссии имеют право запрашивать у участников Конкурса дополнительные сведения, разъяснения, фото/видео материалы.</w:t>
      </w:r>
    </w:p>
    <w:p>
      <w:pPr>
        <w:widowControl w:val="0"/>
        <w:tabs>
          <w:tab w:val="left" w:pos="8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2.7. Участник Конкурса несет ответственность за достоверность предоставленных сведений и материалов. В случае выявления недостоверности представленных материалов (показателей) претендент отстраняется от участия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актом муниципальной либо областной комиссии Конкурса.</w:t>
      </w:r>
    </w:p>
    <w:p>
      <w:pPr>
        <w:widowControl w:val="0"/>
        <w:tabs>
          <w:tab w:val="left" w:pos="822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2.8. Рассмотрение документов участников Конкурса, указанных в пункте 2.5. настоящего Положения, и подведение итогов первого этапа Конкурса проводится муниципальной комиссией в соответствии с пунктом 3.1. настоящего Положения.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2.9.</w:t>
      </w:r>
      <w:r>
        <w:rPr>
          <w:rFonts w:eastAsia="Calibri"/>
          <w:spacing w:val="-42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После подведения итогов первого этапа Конкурса муниципальной комиссией, администрации городского округа, муниципальных районов, муниципальных округов Новгородской области в срок до 17.06.2025 направляют в ГОАУ «ЦИП» сопроводительным письмом в соответствии с Регламентом работы с документами в системе электронного документооборота органов исполнительной власти Новгородской области: протокол заседания муниципальной комиссии и заявочные документы победителей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с фотоматериалами.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Материалы, указанные в пункте 2.5. настоящего Положения, возврату участникам Конкурса не подлежат. 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2.10. Документы, представленные после указанного срока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 xml:space="preserve">или представленные не в полном объеме, не принимаются к рассмотрению на втором этапе Конкурса; организатор Конкурса в срок до 20.06.2025 (включительно) направляет в муниципальные комиссии письменные уведомления об отказе в допуске претендента во второй этап Конкурса. 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2.11. ГОАУ «ЦИП» обеспечивает проведение заседания областной комиссии второго этапа Конкурса в срок до 01.07.2025, в том числе, информирование членов областной комиссии второго этапа Конкурса о месте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и времени проведения заседания не позднее, чем за 3 рабочих дня.</w:t>
      </w:r>
    </w:p>
    <w:p>
      <w:pPr>
        <w:widowControl w:val="0"/>
        <w:tabs>
          <w:tab w:val="left" w:pos="822"/>
        </w:tabs>
        <w:ind w:firstLine="68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2.12.</w:t>
      </w:r>
      <w:r>
        <w:rPr>
          <w:rFonts w:eastAsia="Calibri"/>
          <w:spacing w:val="-100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Областная комиссия обеспечивает рассмотрение и подведение итогов второго этапа Конкурса в соответствии с пунктом 3.1. настоящего Положения.</w:t>
      </w:r>
    </w:p>
    <w:p>
      <w:pPr>
        <w:widowControl w:val="0"/>
        <w:tabs>
          <w:tab w:val="left" w:pos="362"/>
        </w:tabs>
        <w:jc w:val="center"/>
        <w:rPr>
          <w:rFonts w:eastAsia="Calibri"/>
          <w:b/>
          <w:sz w:val="28"/>
          <w:szCs w:val="28"/>
          <w:lang w:eastAsia="en-US"/>
        </w:rPr>
      </w:pPr>
    </w:p>
    <w:p>
      <w:pPr>
        <w:widowControl w:val="0"/>
        <w:tabs>
          <w:tab w:val="left" w:pos="362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 Подведение итогов, награждение победителей Конкурса</w:t>
      </w:r>
    </w:p>
    <w:p>
      <w:pPr>
        <w:widowControl w:val="0"/>
        <w:tabs>
          <w:tab w:val="left" w:pos="332"/>
        </w:tabs>
        <w:ind w:left="786"/>
        <w:jc w:val="both"/>
        <w:rPr>
          <w:rFonts w:eastAsia="Calibri"/>
          <w:b/>
          <w:sz w:val="28"/>
          <w:szCs w:val="28"/>
          <w:lang w:eastAsia="en-US"/>
        </w:rPr>
      </w:pP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 При оценке участников Конкурса муниципальная и региональная комиссии учитывают следующие критерии: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3.1.1. Экономические показатели, характеризующие финансово-хозяйственную деятельность объекта розничной торговли;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3.1.2. Соблюдение норм и правил организации торговли, современных требований к внешнему благоустройству объектов торговли;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3.1.3. Обеспечение беспрепятственного доступа маломобильных групп граждан;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3.1.4. Характеристика торгового объекта (согласно заявленным данным), его соответствие требованиям, нормам и стандартам, указанным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 xml:space="preserve">в «Национальном стандарте РФ ГОСТ Р 51303-2013. «Торговля. Термины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и определения, удобство для покупателей»;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3.1.5. Уровень культуры обслуживания потребителей;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3.1.6. Положительные отзывы потребителей;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3.1.7. Партнер в обеспечении действия социальных дисконтных карт «Забота» на территории Новгородской области; 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3.1.8. П</w:t>
      </w:r>
      <w:r>
        <w:rPr>
          <w:sz w:val="28"/>
          <w:szCs w:val="28"/>
        </w:rPr>
        <w:t>роведение акций и прочих мероприятий в рамках реализации программ лояльности.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3.2. Победителем в каждой заявленной номинации признается один участник Конкурса, набравший суммарно максимальное количество баллов согласно оценочным листам членов муниципальной и областной комиссий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 xml:space="preserve">в соответствии с протоколами. </w:t>
      </w:r>
    </w:p>
    <w:p>
      <w:pPr>
        <w:widowControl w:val="0"/>
        <w:tabs>
          <w:tab w:val="left" w:pos="664"/>
        </w:tabs>
        <w:ind w:right="2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3.3. Комиссии при подведении итогов на первом и втором этапах Конкурса используют оценочные листы согласно приложению №3 настоящего Положения.</w:t>
      </w:r>
    </w:p>
    <w:p>
      <w:pPr>
        <w:widowControl w:val="0"/>
        <w:tabs>
          <w:tab w:val="left" w:pos="66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3.4.</w:t>
      </w:r>
      <w:r>
        <w:rPr>
          <w:rFonts w:eastAsia="Calibri"/>
          <w:spacing w:val="-46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 каждого участника Конкурса по заявленной номинации всеми членами комиссии заполняются оценочные листы. По каждому претенденту секретарем комиссии выводится средний балл, который прописывается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в итоговом оценочном листе приложением к протоколу комиссии.</w:t>
      </w:r>
    </w:p>
    <w:p>
      <w:pPr>
        <w:widowControl w:val="0"/>
        <w:tabs>
          <w:tab w:val="left" w:pos="66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3.5.</w:t>
      </w:r>
      <w:r>
        <w:rPr>
          <w:rFonts w:eastAsia="Calibri"/>
          <w:spacing w:val="-48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Победителем в каждой из номинаций, предусмотренных пунктами 2.3.1-2.3.9. настоящего Положения, считается участник Конкурса, набравший наибольшее количество баллов.</w:t>
      </w:r>
    </w:p>
    <w:p>
      <w:pPr>
        <w:widowControl w:val="0"/>
        <w:tabs>
          <w:tab w:val="left" w:pos="66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3.6. Победитель в номинации «Мой любимый магазин», предусмотренной пунктом 2.3.10. определяется большинством голосов за период открытого голосования на ПОС в период с 01.07.2025 по 07.07.2025.</w:t>
      </w:r>
    </w:p>
    <w:p>
      <w:pPr>
        <w:widowControl w:val="0"/>
        <w:tabs>
          <w:tab w:val="left" w:pos="66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3.7. В случае, если участники Конкурса набрали одинаковое количество баллов, то председатель комиссии первого или второго этапов Конкурса имеет преимущество отдать дополнительный балл в пользу любого </w:t>
      </w:r>
      <w:r>
        <w:rPr>
          <w:rFonts w:eastAsia="Calibri"/>
          <w:sz w:val="28"/>
          <w:szCs w:val="28"/>
          <w:lang w:eastAsia="en-US"/>
        </w:rPr>
        <w:br w:type="textWrapping"/>
      </w:r>
      <w:r>
        <w:rPr>
          <w:rFonts w:eastAsia="Calibri"/>
          <w:sz w:val="28"/>
          <w:szCs w:val="28"/>
          <w:lang w:eastAsia="en-US"/>
        </w:rPr>
        <w:t>из участников Конкурса.</w:t>
      </w:r>
    </w:p>
    <w:p>
      <w:pPr>
        <w:widowControl w:val="0"/>
        <w:tabs>
          <w:tab w:val="left" w:pos="66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3.8. Решения муниципальных комиссий первого этапа Конкурса и </w:t>
      </w:r>
      <w:r>
        <w:rPr>
          <w:rFonts w:eastAsia="Calibri"/>
          <w:bCs/>
          <w:sz w:val="28"/>
          <w:szCs w:val="28"/>
          <w:lang w:eastAsia="en-US"/>
        </w:rPr>
        <w:t xml:space="preserve">областной </w:t>
      </w:r>
      <w:r>
        <w:rPr>
          <w:rFonts w:eastAsia="Calibri"/>
          <w:sz w:val="28"/>
          <w:szCs w:val="28"/>
          <w:lang w:eastAsia="en-US"/>
        </w:rPr>
        <w:t xml:space="preserve">комиссии второго этапа Конкурса являются окончательными и пересмотру не подлежат. Заседания муниципальной и </w:t>
      </w:r>
      <w:r>
        <w:rPr>
          <w:rFonts w:eastAsia="Calibri"/>
          <w:bCs/>
          <w:sz w:val="28"/>
          <w:szCs w:val="28"/>
          <w:lang w:eastAsia="en-US"/>
        </w:rPr>
        <w:t xml:space="preserve">областной </w:t>
      </w:r>
      <w:r>
        <w:rPr>
          <w:rFonts w:eastAsia="Calibri"/>
          <w:sz w:val="28"/>
          <w:szCs w:val="28"/>
          <w:lang w:eastAsia="en-US"/>
        </w:rPr>
        <w:t xml:space="preserve">комиссий оформляются протоколами, которые подписываются председателем и секретарем. Ведение протоколов обеспечивают секретари комиссий. </w:t>
      </w: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3.9. Победители второго этапа Конкурса по десяти номинациям, указанным в пункте 2.3. настоящего Положения, награждаются в рамках торжественного мероприятия «День работников торговли - 2025».  </w:t>
      </w: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 w:firstLine="709"/>
        <w:jc w:val="both"/>
        <w:rPr>
          <w:rFonts w:eastAsia="Calibri"/>
          <w:sz w:val="28"/>
          <w:szCs w:val="28"/>
          <w:lang w:eastAsia="en-US"/>
        </w:rPr>
      </w:pPr>
    </w:p>
    <w:p>
      <w:pPr>
        <w:widowControl w:val="0"/>
        <w:tabs>
          <w:tab w:val="left" w:pos="822"/>
        </w:tabs>
        <w:ind w:right="20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16"/>
        <w:tblpPr w:leftFromText="180" w:rightFromText="180" w:vertAnchor="text" w:horzAnchor="margin" w:tblpY="3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2"/>
        <w:gridCol w:w="4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>
            <w:pPr>
              <w:pStyle w:val="1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>
            <w:pPr>
              <w:pStyle w:val="19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 областного конкурса «Лучшая                                           разноформатная торговля в Новгородской области - 2025»</w:t>
            </w:r>
          </w:p>
        </w:tc>
      </w:tr>
    </w:tbl>
    <w:p>
      <w:pPr>
        <w:pStyle w:val="1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5"/>
        <w:tblW w:w="0" w:type="auto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3"/>
        <w:gridCol w:w="2778"/>
        <w:gridCol w:w="3838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ЗАЯВКА</w:t>
            </w:r>
          </w:p>
          <w:p>
            <w:pPr>
              <w:pStyle w:val="19"/>
              <w:spacing w:line="280" w:lineRule="exact"/>
              <w:ind w:firstLine="3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участие в конкурсе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Лучшая разноформатная торговля</w:t>
            </w:r>
          </w:p>
          <w:p>
            <w:pPr>
              <w:pStyle w:val="19"/>
              <w:spacing w:line="280" w:lineRule="exact"/>
              <w:ind w:firstLine="36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в Новгородской области - 2025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t xml:space="preserve"> 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в номинации ______________________________________________________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  Фирменное наименование предприятия (название торгового объекта) __________________________________________________________________</w:t>
            </w:r>
          </w:p>
          <w:p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>
            <w:pPr>
              <w:pStyle w:val="19"/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 Юридическое лицо, индивидуальный предприниматель (ИНН, ОГРН ЮЛ/ИП, </w:t>
            </w:r>
            <w:r>
              <w:fldChar w:fldCharType="begin"/>
            </w:r>
            <w:r>
              <w:instrText xml:space="preserve"> HYPERLINK "consultantplus://offline/ref=8A788A79E2521C8718B70479EAF79875B809C4484A245DA676D5AC898170FAC5AAE17919682A5A37A61D1BEE4DWCx0N"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__________________________________________________________________</w:t>
            </w:r>
          </w:p>
          <w:p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>
            <w:pPr>
              <w:pStyle w:val="1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  Местонахождение (фактический адрес торгового объекта) </w:t>
            </w:r>
          </w:p>
          <w:p>
            <w:pPr>
              <w:pStyle w:val="1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>
            <w:pPr>
              <w:pStyle w:val="19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должность руководителя __________________________________________________________________</w:t>
            </w:r>
          </w:p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>
            <w:pPr>
              <w:pStyle w:val="19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Контактный телефон: ____________________________________________</w:t>
            </w:r>
          </w:p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 Адрес электронной почты: ________________________________________</w:t>
            </w:r>
          </w:p>
          <w:p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Указать наименование номинации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возможно указать несколько номинаций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): __________________________________________________________________</w:t>
            </w:r>
          </w:p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>
            <w:pPr>
              <w:pStyle w:val="19"/>
              <w:tabs>
                <w:tab w:val="left" w:pos="570"/>
              </w:tabs>
              <w:spacing w:line="360" w:lineRule="exac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Приложение: </w:t>
            </w:r>
          </w:p>
          <w:p>
            <w:pPr>
              <w:pStyle w:val="19"/>
              <w:tabs>
                <w:tab w:val="left" w:pos="570"/>
              </w:tabs>
              <w:spacing w:line="360" w:lineRule="exac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Анкета участника конкурса «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Лучшая разноформатная торговля в Новгородской области - 2025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номинации ___________________________;</w:t>
            </w:r>
          </w:p>
          <w:p>
            <w:pPr>
              <w:pStyle w:val="19"/>
              <w:tabs>
                <w:tab w:val="left" w:pos="570"/>
              </w:tabs>
              <w:spacing w:line="360" w:lineRule="exac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Фото и видео материалы</w:t>
            </w:r>
          </w:p>
          <w:p>
            <w:pPr>
              <w:pStyle w:val="19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19"/>
              <w:spacing w:line="240" w:lineRule="exac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Заполнение данной заявки выражает согласие руководителя предприятия (индивидуального предпринимателя) на участие в конкурсе «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Лучшая разноформатная торговля в Новгородской области - 2025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» на предложенных в Положении о проведении областного конкурса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Лучшая разноформатная торговля в Новгородской области - 2025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условиях и на обработку персональных данных заявителя.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 2025 года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М.П. (при наличии)</w:t>
            </w:r>
          </w:p>
        </w:tc>
      </w:tr>
    </w:tbl>
    <w:p/>
    <w:p/>
    <w:tbl>
      <w:tblPr>
        <w:tblStyle w:val="16"/>
        <w:tblpPr w:leftFromText="180" w:rightFromText="180" w:vertAnchor="text" w:horzAnchor="margin" w:tblpY="-17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4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1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after="0" w:line="240" w:lineRule="auto"/>
              <w:ind w:right="23" w:firstLine="0"/>
              <w:rPr>
                <w:sz w:val="28"/>
                <w:szCs w:val="28"/>
              </w:rPr>
            </w:pPr>
          </w:p>
        </w:tc>
        <w:tc>
          <w:tcPr>
            <w:tcW w:w="4848" w:type="dxa"/>
          </w:tcPr>
          <w:p>
            <w:pPr>
              <w:pStyle w:val="1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№2 </w:t>
            </w:r>
          </w:p>
          <w:p>
            <w:pPr>
              <w:pStyle w:val="30"/>
              <w:shd w:val="clear" w:color="auto" w:fill="auto"/>
              <w:tabs>
                <w:tab w:val="left" w:pos="822"/>
              </w:tabs>
              <w:spacing w:after="0" w:line="240" w:lineRule="exact"/>
              <w:ind w:right="2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заявке на участие о проведении областного конкурса «Лучшая                                         разноформатная торговля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в Новгородской области - 2025»</w:t>
            </w:r>
          </w:p>
        </w:tc>
      </w:tr>
    </w:tbl>
    <w:p>
      <w:pPr>
        <w:pStyle w:val="19"/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19"/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участника конкурса</w:t>
      </w:r>
    </w:p>
    <w:p>
      <w:pPr>
        <w:pStyle w:val="19"/>
        <w:spacing w:line="280" w:lineRule="exact"/>
        <w:ind w:firstLine="35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Лучшая разноформатная торговля в Новгородской области - 2025</w:t>
      </w:r>
      <w:r>
        <w:rPr>
          <w:rFonts w:ascii="Times New Roman" w:hAnsi="Times New Roman" w:cs="Times New Roman"/>
          <w:b/>
          <w:sz w:val="28"/>
        </w:rPr>
        <w:t>»</w:t>
      </w:r>
    </w:p>
    <w:p>
      <w:pPr>
        <w:pStyle w:val="33"/>
        <w:shd w:val="clear" w:color="auto" w:fill="auto"/>
        <w:spacing w:before="0" w:after="0" w:line="240" w:lineRule="auto"/>
        <w:ind w:right="100"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t>________________________________________________________</w:t>
      </w:r>
    </w:p>
    <w:p>
      <w:pPr>
        <w:pStyle w:val="33"/>
        <w:shd w:val="clear" w:color="auto" w:fill="auto"/>
        <w:spacing w:before="0" w:after="0" w:line="240" w:lineRule="exact"/>
        <w:ind w:right="102"/>
        <w:jc w:val="center"/>
        <w:rPr>
          <w:sz w:val="24"/>
          <w:szCs w:val="24"/>
        </w:rPr>
      </w:pPr>
      <w:r>
        <w:rPr>
          <w:sz w:val="24"/>
          <w:szCs w:val="24"/>
        </w:rPr>
        <w:t>(полное название юридического лица или индивидуального предпринимателя)</w:t>
      </w:r>
    </w:p>
    <w:p>
      <w:pPr>
        <w:pStyle w:val="33"/>
        <w:shd w:val="clear" w:color="auto" w:fill="auto"/>
        <w:spacing w:before="0" w:after="0" w:line="240" w:lineRule="exact"/>
        <w:ind w:right="102"/>
        <w:jc w:val="center"/>
        <w:rPr>
          <w:sz w:val="24"/>
          <w:szCs w:val="24"/>
        </w:rPr>
      </w:pPr>
    </w:p>
    <w:p>
      <w:pPr>
        <w:pStyle w:val="30"/>
        <w:shd w:val="clear" w:color="auto" w:fill="auto"/>
        <w:tabs>
          <w:tab w:val="left" w:pos="1017"/>
        </w:tabs>
        <w:spacing w:after="0" w:line="280" w:lineRule="exact"/>
        <w:ind w:firstLine="0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в номинации </w:t>
      </w:r>
      <w:r>
        <w:rPr>
          <w:sz w:val="24"/>
          <w:szCs w:val="24"/>
        </w:rPr>
        <w:t>_________________________________________________</w:t>
      </w:r>
    </w:p>
    <w:p>
      <w:pPr>
        <w:pStyle w:val="30"/>
        <w:shd w:val="clear" w:color="auto" w:fill="auto"/>
        <w:tabs>
          <w:tab w:val="left" w:pos="822"/>
        </w:tabs>
        <w:spacing w:after="0" w:line="120" w:lineRule="exact"/>
        <w:ind w:right="23" w:firstLine="0"/>
        <w:rPr>
          <w:sz w:val="28"/>
          <w:szCs w:val="28"/>
        </w:rPr>
      </w:pPr>
    </w:p>
    <w:tbl>
      <w:tblPr>
        <w:tblStyle w:val="16"/>
        <w:tblW w:w="0" w:type="auto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5670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b/>
                <w:bCs/>
                <w:sz w:val="28"/>
                <w:szCs w:val="28"/>
              </w:rPr>
            </w:pPr>
            <w:bookmarkStart w:id="3" w:name="_Hlk195800526"/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характеристик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Показатель</w:t>
            </w:r>
          </w:p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(в том числе: да/нет)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руководителя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ИНН/ОГРН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ОКВЭД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Фирменное наименование предприятия (название торгового объекта)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Местонахождение торгового объекта (адрес)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открытия торгового объекта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 телефон, веб-сайт, e-mail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продажи товаров: самообслуживание, свободный доступ, через прилавок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оборота розничной торговли в сравнении с предыдущем годом, указанное в процентном соотношении за период 2023, 2024 годы и первый квартал 2025 года (%)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продавцов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средней заработной платы продавцов за 2024 год и первый квартал 2025 года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0" w:type="dxa"/>
            <w:gridSpan w:val="2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характеристики торгового объекта: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прилегающей территории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вместимость автостоянки (машино-мест)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ind w:right="-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12.3.</w:t>
            </w:r>
          </w:p>
        </w:tc>
        <w:tc>
          <w:tcPr>
            <w:tcW w:w="5670" w:type="dxa"/>
          </w:tcPr>
          <w:p>
            <w:pPr>
              <w:pStyle w:val="19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вывески с графиком работы торгового объекта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торгового объекта для маломобильных групп граждан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торгового зала, кв.м.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системы видеонаблюдения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12.7.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 торговом зале информации для посетителей: инструкция по охране труда, пожарной безопасности, противодействию терроризму и действиям при чрезвычайных ситуациях, книга жалоб и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0" w:type="dxa"/>
          </w:tcPr>
          <w:p>
            <w:pPr>
              <w:pStyle w:val="19"/>
              <w:spacing w:before="120" w:after="12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персонала торговой организации фирменного стиля одежды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</w:tcPr>
          <w:p>
            <w:pPr>
              <w:pStyle w:val="19"/>
              <w:spacing w:before="120" w:after="12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651"/>
              </w:tabs>
              <w:spacing w:before="120" w:after="120" w:line="240" w:lineRule="exact"/>
              <w:ind w:right="4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акций и прочих мероприятий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в рамках реализации программ лояльности за период 2024 года и первый квартал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 xml:space="preserve">2025 года </w:t>
            </w:r>
            <w:r>
              <w:rPr>
                <w:i/>
                <w:iCs/>
                <w:sz w:val="28"/>
                <w:szCs w:val="28"/>
              </w:rPr>
              <w:t>(указать какие)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826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Партнер в обеспечении действия социальных дисконтных карт «Забота» на территории Новгородской области </w:t>
            </w:r>
            <w:r>
              <w:rPr>
                <w:i/>
                <w:iCs/>
                <w:sz w:val="28"/>
                <w:szCs w:val="28"/>
              </w:rPr>
              <w:t>(Соглашение)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" w:type="dxa"/>
            <w:shd w:val="clear" w:color="auto" w:fill="auto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right="2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7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4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в продаже продукции новгородских производителей: виды продукции, производители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i/>
                <w:iCs/>
                <w:sz w:val="28"/>
                <w:szCs w:val="28"/>
              </w:rPr>
              <w:t>(с приложением фотоматериалов)</w:t>
            </w:r>
          </w:p>
        </w:tc>
        <w:tc>
          <w:tcPr>
            <w:tcW w:w="2830" w:type="dxa"/>
          </w:tcPr>
          <w:p>
            <w:pPr>
              <w:pStyle w:val="30"/>
              <w:shd w:val="clear" w:color="auto" w:fill="auto"/>
              <w:tabs>
                <w:tab w:val="left" w:pos="822"/>
              </w:tabs>
              <w:spacing w:before="120" w:after="120" w:line="280" w:lineRule="exact"/>
              <w:ind w:right="23" w:firstLine="0"/>
              <w:rPr>
                <w:sz w:val="28"/>
                <w:szCs w:val="28"/>
              </w:rPr>
            </w:pPr>
          </w:p>
        </w:tc>
      </w:tr>
      <w:bookmarkEnd w:id="3"/>
    </w:tbl>
    <w:p>
      <w:pPr>
        <w:pStyle w:val="19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9"/>
        <w:spacing w:line="320" w:lineRule="exac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19"/>
        <w:spacing w:line="3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Дата                    __________________                                     ____________________</w:t>
      </w: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(должность)                                                                               (Ф.И.О., подпись)</w:t>
      </w: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печать (при наличии)             </w:t>
      </w: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</w:t>
      </w: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</w:p>
    <w:p>
      <w:pPr>
        <w:pStyle w:val="19"/>
        <w:tabs>
          <w:tab w:val="left" w:pos="7245"/>
        </w:tabs>
        <w:spacing w:line="320" w:lineRule="exact"/>
        <w:jc w:val="both"/>
        <w:rPr>
          <w:rFonts w:ascii="Times New Roman" w:hAnsi="Times New Roman" w:cs="Times New Roman"/>
          <w:sz w:val="20"/>
        </w:rPr>
      </w:pPr>
    </w:p>
    <w:tbl>
      <w:tblPr>
        <w:tblStyle w:val="1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2"/>
        <w:gridCol w:w="4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>
            <w:pPr>
              <w:pStyle w:val="19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№3 </w:t>
            </w:r>
          </w:p>
          <w:p>
            <w:pPr>
              <w:pStyle w:val="19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Положению о проведении областного конкурса «Лучшая                                           разноформатная торговля в Новгородской области - 2025»</w:t>
            </w:r>
          </w:p>
        </w:tc>
      </w:tr>
    </w:tbl>
    <w:p>
      <w:pPr>
        <w:pStyle w:val="19"/>
        <w:spacing w:line="280" w:lineRule="exact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19"/>
        <w:spacing w:line="280" w:lineRule="exact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19"/>
        <w:spacing w:line="280" w:lineRule="exact"/>
        <w:ind w:firstLine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5803122"/>
      <w:r>
        <w:rPr>
          <w:rFonts w:ascii="Times New Roman" w:hAnsi="Times New Roman" w:cs="Times New Roman"/>
          <w:b/>
          <w:bCs/>
          <w:sz w:val="28"/>
          <w:szCs w:val="28"/>
        </w:rPr>
        <w:t>Оценочный лист</w:t>
      </w:r>
    </w:p>
    <w:p>
      <w:pPr>
        <w:pStyle w:val="19"/>
        <w:spacing w:line="280" w:lineRule="exact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конкурсу 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Лучшая разноформатная торговля                                                               в Новгородской области - 2025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4"/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4414"/>
        <w:gridCol w:w="1680"/>
        <w:gridCol w:w="2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7330093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14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Критерий оценки</w:t>
            </w:r>
          </w:p>
        </w:tc>
        <w:tc>
          <w:tcPr>
            <w:tcW w:w="1680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362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 -5, минимальное количество баллов - 0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4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0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2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Экономический показатель увеличения оборота розничной торговли в сравнении с предыдущем годом, указанное в процентном соотношении за период 2023, 2024 годы и первый квартал 2025 года (%)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средней заработной платы продавцов за 2024 год и первый квартал 2025 года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прилегающей территории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и вместимость автостоянки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вывески с графиком работы торгового объекта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Доступность торгового объекта для маломобильных групп граждан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системы видеонаблюдения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торговом зале информации для посетителей: инструкция по охране труда, пожарной безопасности, противодействию терроризму и действиям при чрезвычайных ситуациях, книга жалоб и предложений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 персонала торговой организации фирменного стиля одежды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акций и прочих мероприятий в рамках реализации программ лояльности за период 2024 года и первый квартал 2025 года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Партнер в обеспечении действия социальных дисконтных карт «Забота» на территории Новгородской области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>
            <w:pPr>
              <w:pStyle w:val="1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414" w:type="dxa"/>
          </w:tcPr>
          <w:p>
            <w:pPr>
              <w:pStyle w:val="19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продаже продукции новгородских производителей </w:t>
            </w:r>
          </w:p>
        </w:tc>
        <w:tc>
          <w:tcPr>
            <w:tcW w:w="1680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3" w:type="dxa"/>
            <w:gridSpan w:val="2"/>
          </w:tcPr>
          <w:p>
            <w:pPr>
              <w:pStyle w:val="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Общее количество баллов:</w:t>
            </w:r>
          </w:p>
          <w:p>
            <w:pPr>
              <w:pStyle w:val="1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42" w:type="dxa"/>
            <w:gridSpan w:val="2"/>
          </w:tcPr>
          <w:p>
            <w:pPr>
              <w:pStyle w:val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5"/>
    </w:tbl>
    <w:p>
      <w:pPr>
        <w:pStyle w:val="19"/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9"/>
        <w:spacing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Дата:                                                                  _______ _____________________</w:t>
      </w:r>
    </w:p>
    <w:p>
      <w:pPr>
        <w:pStyle w:val="19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       (расшифровка подписи.)</w:t>
      </w:r>
    </w:p>
    <w:p>
      <w:pPr>
        <w:pStyle w:val="19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19"/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widowControl w:val="0"/>
        <w:autoSpaceDE w:val="0"/>
        <w:autoSpaceDN w:val="0"/>
        <w:spacing w:line="360" w:lineRule="exact"/>
        <w:jc w:val="both"/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spacing w:line="360" w:lineRule="exact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ind w:left="5670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ind w:left="5670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ind w:left="5670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ind w:left="5670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ind w:left="5670"/>
        <w:jc w:val="both"/>
        <w:rPr>
          <w:b/>
          <w:sz w:val="22"/>
          <w:szCs w:val="20"/>
        </w:rPr>
      </w:pPr>
    </w:p>
    <w:p>
      <w:pPr>
        <w:widowControl w:val="0"/>
        <w:autoSpaceDE w:val="0"/>
        <w:autoSpaceDN w:val="0"/>
        <w:ind w:left="5670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УТВЕРЖДЕН</w:t>
      </w:r>
    </w:p>
    <w:p>
      <w:pPr>
        <w:widowControl w:val="0"/>
        <w:autoSpaceDE w:val="0"/>
        <w:autoSpaceDN w:val="0"/>
        <w:ind w:left="5670"/>
        <w:rPr>
          <w:sz w:val="28"/>
          <w:szCs w:val="28"/>
        </w:rPr>
      </w:pPr>
      <w:r>
        <w:rPr>
          <w:sz w:val="28"/>
          <w:szCs w:val="28"/>
        </w:rPr>
        <w:t>Приказом министерства промышленности и торговли Новгородской области</w:t>
      </w:r>
    </w:p>
    <w:p>
      <w:pPr>
        <w:widowControl w:val="0"/>
        <w:autoSpaceDE w:val="0"/>
        <w:autoSpaceDN w:val="0"/>
        <w:ind w:left="5670"/>
        <w:rPr>
          <w:b/>
          <w:sz w:val="28"/>
          <w:szCs w:val="28"/>
        </w:rPr>
      </w:pPr>
      <w:r>
        <w:rPr>
          <w:sz w:val="28"/>
          <w:szCs w:val="28"/>
        </w:rPr>
        <w:t>от                     №</w:t>
      </w:r>
    </w:p>
    <w:p>
      <w:pPr>
        <w:pStyle w:val="19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9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sz w:val="28"/>
        </w:rPr>
        <w:t>СОСТАВ</w:t>
      </w:r>
      <w:r>
        <w:rPr>
          <w:b/>
          <w:sz w:val="28"/>
        </w:rPr>
        <w:br w:type="textWrapping"/>
      </w:r>
      <w:r>
        <w:rPr>
          <w:b/>
          <w:bCs/>
          <w:sz w:val="28"/>
          <w:szCs w:val="28"/>
        </w:rPr>
        <w:t xml:space="preserve">комиссии областного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конкурса </w:t>
      </w:r>
    </w:p>
    <w:p>
      <w:pPr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«Лучшая разноформатная торговля в Новгородской области </w:t>
      </w:r>
      <w:r>
        <w:rPr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2025»  </w:t>
      </w:r>
    </w:p>
    <w:p>
      <w:pPr>
        <w:pStyle w:val="19"/>
        <w:ind w:firstLine="540"/>
        <w:jc w:val="both"/>
        <w:rPr>
          <w:rFonts w:ascii="Times New Roman" w:hAnsi="Times New Roman" w:cs="Times New Roman"/>
        </w:rPr>
      </w:pPr>
    </w:p>
    <w:tbl>
      <w:tblPr>
        <w:tblStyle w:val="5"/>
        <w:tblW w:w="9647" w:type="dxa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35"/>
        <w:gridCol w:w="641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90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Чекмарев</w:t>
            </w:r>
          </w:p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Иван Витальевич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- министр промышленности и торговли Новгородской области, председатель комиссии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92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Данькова </w:t>
            </w:r>
          </w:p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Анастасия Сергеевна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- заместитель министра – директор департамента торговли и лицензирования министерства промышленности и торговли Новгородской области, заместитель председателя комиссии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134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Сенькина</w:t>
            </w: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Елизавета Сергеевна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- главный специалист отдела развития потребительского рынка и предпринимательства </w:t>
            </w:r>
            <w:r>
              <w:rPr>
                <w:sz w:val="28"/>
                <w:szCs w:val="28"/>
              </w:rPr>
              <w:t xml:space="preserve">государственного областного автономного учреждения </w:t>
            </w: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«Новгородский центр развития инноваций и промышленности», секретарь комиссии </w:t>
            </w:r>
            <w:r>
              <w:rPr>
                <w:sz w:val="28"/>
                <w:szCs w:val="28"/>
              </w:rPr>
              <w:t>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W w:w="9647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b/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b/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Члены комиссии: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5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Style w:val="9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Быков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Виктор Андреевич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директор государственного областного автономного учреждения «Агентство развития Новгородской области» 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15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</w:rPr>
            </w:pPr>
            <w:r>
              <w:rPr>
                <w:sz w:val="28"/>
              </w:rPr>
              <w:t>Весельев</w:t>
            </w:r>
          </w:p>
          <w:p>
            <w:pPr>
              <w:rPr>
                <w:sz w:val="28"/>
                <w:highlight w:val="yellow"/>
              </w:rPr>
            </w:pPr>
            <w:r>
              <w:rPr>
                <w:sz w:val="28"/>
              </w:rPr>
              <w:t>Юрий Михайлович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Новгородского фонда развития креативной экономики, председатель Новгородского регионального отделения Общероссийской общественной организации «Деловая Россия» 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95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Голощанов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Андрей Эдуардович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председатель Новгородского регионального отделения «ОПОРА РОССИИ» 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2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</w:rPr>
            </w:pPr>
            <w:r>
              <w:rPr>
                <w:sz w:val="28"/>
              </w:rPr>
              <w:t xml:space="preserve">Григорьев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Александр Николаевич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президент союза «Новгородская торгово-промышленная палата» 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2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sz w:val="28"/>
              </w:rPr>
            </w:pPr>
            <w:r>
              <w:rPr>
                <w:sz w:val="28"/>
              </w:rPr>
              <w:t>Гольдвирт</w:t>
            </w:r>
            <w:r>
              <w:rPr>
                <w:sz w:val="28"/>
              </w:rPr>
              <w:br w:type="textWrapping"/>
            </w:r>
            <w:r>
              <w:rPr>
                <w:sz w:val="28"/>
              </w:rPr>
              <w:t>Елизавета Константиновна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руководитель аппарата Уполномоченного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по защите прав предпринимателей в Новгородской области 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2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ind w:left="708" w:hanging="708"/>
              <w:rPr>
                <w:sz w:val="28"/>
              </w:rPr>
            </w:pPr>
            <w:r>
              <w:rPr>
                <w:sz w:val="28"/>
              </w:rPr>
              <w:t xml:space="preserve">Ершова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Татьяна Николаевна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заместитель директора департамента торговли                   и лицензирования министерства промышленности                  и торговли Новгородской области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2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ind w:left="708" w:hanging="708"/>
              <w:rPr>
                <w:sz w:val="28"/>
              </w:rPr>
            </w:pPr>
            <w:r>
              <w:rPr>
                <w:sz w:val="28"/>
              </w:rPr>
              <w:t xml:space="preserve">Иванов </w:t>
            </w:r>
          </w:p>
          <w:p>
            <w:pPr>
              <w:ind w:left="708" w:hanging="708"/>
              <w:rPr>
                <w:sz w:val="28"/>
              </w:rPr>
            </w:pPr>
            <w:r>
              <w:rPr>
                <w:sz w:val="28"/>
              </w:rPr>
              <w:t>Денис Сергеевич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директор </w:t>
            </w:r>
            <w:r>
              <w:rPr>
                <w:sz w:val="28"/>
                <w:szCs w:val="28"/>
              </w:rPr>
              <w:t xml:space="preserve">государственного областного автономного учреждения «Новгородский центр развития инноваций и промышленности»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62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Наумова </w:t>
            </w:r>
          </w:p>
          <w:p>
            <w:pPr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Татьяна Владимировна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отдела развития потребительского рынка и предпринимательства </w:t>
            </w:r>
            <w:r>
              <w:rPr>
                <w:sz w:val="28"/>
                <w:szCs w:val="28"/>
              </w:rPr>
              <w:t>государственного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областного автономного учреждения «Новгородский центр развития инноваций и промышленности» </w:t>
            </w:r>
            <w:r>
              <w:rPr>
                <w:spacing w:val="2"/>
                <w:sz w:val="28"/>
                <w:szCs w:val="28"/>
                <w:shd w:val="clear" w:color="auto" w:fill="FFFFFF"/>
              </w:rPr>
              <w:t>(по согласованию)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63" w:hRule="atLeast"/>
        </w:trPr>
        <w:tc>
          <w:tcPr>
            <w:tcW w:w="3235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Потапов</w:t>
            </w:r>
          </w:p>
          <w:p>
            <w:pPr>
              <w:rPr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Игнат Валентинович</w:t>
            </w:r>
          </w:p>
          <w:p>
            <w:pPr>
              <w:rPr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bCs/>
                <w:sz w:val="28"/>
                <w:szCs w:val="28"/>
              </w:rPr>
            </w:pPr>
            <w:r>
              <w:rPr>
                <w:b/>
                <w:color w:val="000000" w:themeColor="text1"/>
                <w:spacing w:val="2"/>
                <w:sz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412" w:type="dxa"/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 областного государственного автономного учреждения «Центр консалтинга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и инноваций АПК Новгородской области»</w:t>
            </w: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color w:val="000000" w:themeColor="text1"/>
                <w:spacing w:val="2"/>
                <w:sz w:val="28"/>
                <w:szCs w:val="2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(по согласованию)</w:t>
            </w:r>
          </w:p>
        </w:tc>
      </w:tr>
    </w:tbl>
    <w:p>
      <w:pPr>
        <w:spacing w:before="60"/>
        <w:jc w:val="center"/>
        <w:rPr>
          <w:sz w:val="28"/>
          <w:szCs w:val="28"/>
        </w:rPr>
      </w:pPr>
    </w:p>
    <w:p/>
    <w:sectPr>
      <w:headerReference r:id="rId5" w:type="default"/>
      <w:pgSz w:w="11906" w:h="16838"/>
      <w:pgMar w:top="993" w:right="566" w:bottom="1418" w:left="1701" w:header="737" w:footer="283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8244013"/>
      <w:docPartObj>
        <w:docPartGallery w:val="autotext"/>
      </w:docPartObj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12</w:t>
        </w:r>
        <w:r>
          <w:fldChar w:fldCharType="end"/>
        </w:r>
      </w:p>
    </w:sdtContent>
  </w:sdt>
  <w:p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D19A4"/>
    <w:multiLevelType w:val="multilevel"/>
    <w:tmpl w:val="139D19A4"/>
    <w:lvl w:ilvl="0" w:tentative="0">
      <w:start w:val="1"/>
      <w:numFmt w:val="decimal"/>
      <w:lvlText w:val="%1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 w:tentative="0">
      <w:start w:val="1"/>
      <w:numFmt w:val="decimal"/>
      <w:lvlText w:val="%1.%2."/>
      <w:lvlJc w:val="left"/>
      <w:pPr>
        <w:ind w:left="568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  <w:lvl w:ilvl="3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  <w:lvl w:ilvl="4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  <w:lvl w:ilvl="5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  <w:lvl w:ilvl="6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  <w:lvl w:ilvl="7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  <w:lvl w:ilvl="8" w:tentative="0">
      <w:start w:val="0"/>
      <w:numFmt w:val="decimal"/>
      <w:lvlText w:val=""/>
      <w:lvlJc w:val="left"/>
      <w:pPr>
        <w:ind w:left="0" w:firstLine="0"/>
      </w:pPr>
      <w:rPr>
        <w:rFonts w:hint="default" w:cs="Times New Roman"/>
      </w:rPr>
    </w:lvl>
  </w:abstractNum>
  <w:abstractNum w:abstractNumId="1">
    <w:nsid w:val="1AE04B44"/>
    <w:multiLevelType w:val="multilevel"/>
    <w:tmpl w:val="1AE04B44"/>
    <w:lvl w:ilvl="0" w:tentative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/>
      </w:rPr>
    </w:lvl>
    <w:lvl w:ilvl="3" w:tentative="0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3BB83FF1"/>
    <w:multiLevelType w:val="multilevel"/>
    <w:tmpl w:val="3BB83FF1"/>
    <w:lvl w:ilvl="0" w:tentative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F2A4C"/>
    <w:multiLevelType w:val="multilevel"/>
    <w:tmpl w:val="6B8F2A4C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E5"/>
    <w:rsid w:val="00004A61"/>
    <w:rsid w:val="00016547"/>
    <w:rsid w:val="00017BB6"/>
    <w:rsid w:val="00033CE0"/>
    <w:rsid w:val="000509C7"/>
    <w:rsid w:val="00050E7A"/>
    <w:rsid w:val="00076031"/>
    <w:rsid w:val="00077567"/>
    <w:rsid w:val="000777BC"/>
    <w:rsid w:val="0008153B"/>
    <w:rsid w:val="00096439"/>
    <w:rsid w:val="000A3746"/>
    <w:rsid w:val="000B04AC"/>
    <w:rsid w:val="000B430B"/>
    <w:rsid w:val="000C0E93"/>
    <w:rsid w:val="000C7371"/>
    <w:rsid w:val="000C7DED"/>
    <w:rsid w:val="000D1475"/>
    <w:rsid w:val="000F5C11"/>
    <w:rsid w:val="001457B7"/>
    <w:rsid w:val="001536CE"/>
    <w:rsid w:val="001573B8"/>
    <w:rsid w:val="0018222B"/>
    <w:rsid w:val="00182B66"/>
    <w:rsid w:val="00183751"/>
    <w:rsid w:val="001860EE"/>
    <w:rsid w:val="001E7ECD"/>
    <w:rsid w:val="0020412B"/>
    <w:rsid w:val="00214595"/>
    <w:rsid w:val="00224969"/>
    <w:rsid w:val="0025212D"/>
    <w:rsid w:val="0025400B"/>
    <w:rsid w:val="00274F0F"/>
    <w:rsid w:val="002813E3"/>
    <w:rsid w:val="002A5281"/>
    <w:rsid w:val="002B2A04"/>
    <w:rsid w:val="002E0EF5"/>
    <w:rsid w:val="002E5A5E"/>
    <w:rsid w:val="00312224"/>
    <w:rsid w:val="003162CC"/>
    <w:rsid w:val="00321B4C"/>
    <w:rsid w:val="00344F9A"/>
    <w:rsid w:val="00355878"/>
    <w:rsid w:val="003567F0"/>
    <w:rsid w:val="003741BB"/>
    <w:rsid w:val="00402CE8"/>
    <w:rsid w:val="00454E43"/>
    <w:rsid w:val="004937B7"/>
    <w:rsid w:val="004E167D"/>
    <w:rsid w:val="00505A20"/>
    <w:rsid w:val="00507B66"/>
    <w:rsid w:val="00507B6B"/>
    <w:rsid w:val="00512731"/>
    <w:rsid w:val="00530C0C"/>
    <w:rsid w:val="00552ABB"/>
    <w:rsid w:val="00566136"/>
    <w:rsid w:val="00567027"/>
    <w:rsid w:val="005B30AD"/>
    <w:rsid w:val="005B4C07"/>
    <w:rsid w:val="005B61FD"/>
    <w:rsid w:val="005D109C"/>
    <w:rsid w:val="005D3DE0"/>
    <w:rsid w:val="005D5595"/>
    <w:rsid w:val="005D7D3E"/>
    <w:rsid w:val="00612244"/>
    <w:rsid w:val="00622706"/>
    <w:rsid w:val="00623007"/>
    <w:rsid w:val="006271FD"/>
    <w:rsid w:val="006454A7"/>
    <w:rsid w:val="00672823"/>
    <w:rsid w:val="00686031"/>
    <w:rsid w:val="006B54E7"/>
    <w:rsid w:val="006C2CAD"/>
    <w:rsid w:val="006D5CE5"/>
    <w:rsid w:val="006E3A54"/>
    <w:rsid w:val="006E74A8"/>
    <w:rsid w:val="00702CBE"/>
    <w:rsid w:val="00707BDE"/>
    <w:rsid w:val="00734587"/>
    <w:rsid w:val="00735E06"/>
    <w:rsid w:val="00740E6F"/>
    <w:rsid w:val="00751804"/>
    <w:rsid w:val="00755922"/>
    <w:rsid w:val="00790AD7"/>
    <w:rsid w:val="007D5D1D"/>
    <w:rsid w:val="007F217C"/>
    <w:rsid w:val="007F4D21"/>
    <w:rsid w:val="008137E0"/>
    <w:rsid w:val="0081656B"/>
    <w:rsid w:val="00831CE9"/>
    <w:rsid w:val="00842933"/>
    <w:rsid w:val="00855D58"/>
    <w:rsid w:val="0085738C"/>
    <w:rsid w:val="008851D0"/>
    <w:rsid w:val="00887119"/>
    <w:rsid w:val="008A143F"/>
    <w:rsid w:val="008C3EF3"/>
    <w:rsid w:val="008C7F57"/>
    <w:rsid w:val="008F26DD"/>
    <w:rsid w:val="008F50EE"/>
    <w:rsid w:val="00905174"/>
    <w:rsid w:val="009068AF"/>
    <w:rsid w:val="00907960"/>
    <w:rsid w:val="00907E5D"/>
    <w:rsid w:val="00911898"/>
    <w:rsid w:val="00953037"/>
    <w:rsid w:val="0096591E"/>
    <w:rsid w:val="00981709"/>
    <w:rsid w:val="009C71E7"/>
    <w:rsid w:val="009F5F58"/>
    <w:rsid w:val="00A10FEB"/>
    <w:rsid w:val="00A24988"/>
    <w:rsid w:val="00A2542B"/>
    <w:rsid w:val="00A27075"/>
    <w:rsid w:val="00A37D4E"/>
    <w:rsid w:val="00A6031D"/>
    <w:rsid w:val="00A663AB"/>
    <w:rsid w:val="00A968A1"/>
    <w:rsid w:val="00AA268E"/>
    <w:rsid w:val="00AC1B34"/>
    <w:rsid w:val="00AC2868"/>
    <w:rsid w:val="00AC31FE"/>
    <w:rsid w:val="00AD78FA"/>
    <w:rsid w:val="00AE06B9"/>
    <w:rsid w:val="00AE2B9E"/>
    <w:rsid w:val="00AE5079"/>
    <w:rsid w:val="00AF282A"/>
    <w:rsid w:val="00B37D67"/>
    <w:rsid w:val="00B426F9"/>
    <w:rsid w:val="00B7456B"/>
    <w:rsid w:val="00B765C3"/>
    <w:rsid w:val="00B84488"/>
    <w:rsid w:val="00B90E23"/>
    <w:rsid w:val="00B945A7"/>
    <w:rsid w:val="00BD75E9"/>
    <w:rsid w:val="00BD77E9"/>
    <w:rsid w:val="00BE2A9B"/>
    <w:rsid w:val="00BE47DA"/>
    <w:rsid w:val="00C0649D"/>
    <w:rsid w:val="00C06700"/>
    <w:rsid w:val="00C11BAF"/>
    <w:rsid w:val="00C235DF"/>
    <w:rsid w:val="00C3759B"/>
    <w:rsid w:val="00C40B01"/>
    <w:rsid w:val="00C475FD"/>
    <w:rsid w:val="00C541A7"/>
    <w:rsid w:val="00C56AC1"/>
    <w:rsid w:val="00C65FA1"/>
    <w:rsid w:val="00C81A0F"/>
    <w:rsid w:val="00C87E43"/>
    <w:rsid w:val="00C94343"/>
    <w:rsid w:val="00C95044"/>
    <w:rsid w:val="00CD16CB"/>
    <w:rsid w:val="00CD1CDE"/>
    <w:rsid w:val="00D010AB"/>
    <w:rsid w:val="00D04F3B"/>
    <w:rsid w:val="00D1256F"/>
    <w:rsid w:val="00D15251"/>
    <w:rsid w:val="00D15451"/>
    <w:rsid w:val="00D35FD9"/>
    <w:rsid w:val="00D42002"/>
    <w:rsid w:val="00D451AA"/>
    <w:rsid w:val="00D531C1"/>
    <w:rsid w:val="00D63926"/>
    <w:rsid w:val="00D67861"/>
    <w:rsid w:val="00D93609"/>
    <w:rsid w:val="00D93D77"/>
    <w:rsid w:val="00DA014F"/>
    <w:rsid w:val="00DA251B"/>
    <w:rsid w:val="00DA3124"/>
    <w:rsid w:val="00DB3200"/>
    <w:rsid w:val="00DB5AE7"/>
    <w:rsid w:val="00DE68B5"/>
    <w:rsid w:val="00E11603"/>
    <w:rsid w:val="00E206D2"/>
    <w:rsid w:val="00E211E1"/>
    <w:rsid w:val="00E31B4C"/>
    <w:rsid w:val="00E57CF1"/>
    <w:rsid w:val="00E8519A"/>
    <w:rsid w:val="00EA7EED"/>
    <w:rsid w:val="00EB58C2"/>
    <w:rsid w:val="00EC6A6A"/>
    <w:rsid w:val="00EE562F"/>
    <w:rsid w:val="00EE6538"/>
    <w:rsid w:val="00EE66A1"/>
    <w:rsid w:val="00EF6163"/>
    <w:rsid w:val="00F01897"/>
    <w:rsid w:val="00F1773B"/>
    <w:rsid w:val="00F26E84"/>
    <w:rsid w:val="00F50550"/>
    <w:rsid w:val="00F76A3D"/>
    <w:rsid w:val="00F83ABD"/>
    <w:rsid w:val="00F967DD"/>
    <w:rsid w:val="00FA11C6"/>
    <w:rsid w:val="00FA5D51"/>
    <w:rsid w:val="00FA67C0"/>
    <w:rsid w:val="00FB0CA9"/>
    <w:rsid w:val="00FB3889"/>
    <w:rsid w:val="00FD12DC"/>
    <w:rsid w:val="00FF3888"/>
    <w:rsid w:val="00FF5C92"/>
    <w:rsid w:val="124C353A"/>
    <w:rsid w:val="370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qFormat/>
    <w:uiPriority w:val="0"/>
    <w:pPr>
      <w:keepNext/>
      <w:widowControl w:val="0"/>
      <w:spacing w:before="600"/>
      <w:jc w:val="center"/>
      <w:outlineLvl w:val="1"/>
    </w:pPr>
    <w:rPr>
      <w:sz w:val="32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otnote reference"/>
    <w:basedOn w:val="4"/>
    <w:semiHidden/>
    <w:unhideWhenUsed/>
    <w:qFormat/>
    <w:uiPriority w:val="99"/>
    <w:rPr>
      <w:vertAlign w:val="superscript"/>
    </w:rPr>
  </w:style>
  <w:style w:type="character" w:styleId="7">
    <w:name w:val="Emphasis"/>
    <w:basedOn w:val="4"/>
    <w:qFormat/>
    <w:uiPriority w:val="20"/>
    <w:rPr>
      <w:i/>
      <w:iCs/>
    </w:rPr>
  </w:style>
  <w:style w:type="character" w:styleId="8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4"/>
    <w:qFormat/>
    <w:uiPriority w:val="22"/>
    <w:rPr>
      <w:b/>
      <w:bCs/>
    </w:rPr>
  </w:style>
  <w:style w:type="paragraph" w:styleId="10">
    <w:name w:val="Balloon Text"/>
    <w:basedOn w:val="1"/>
    <w:link w:val="23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footnote text"/>
    <w:basedOn w:val="1"/>
    <w:link w:val="28"/>
    <w:semiHidden/>
    <w:unhideWhenUsed/>
    <w:qFormat/>
    <w:uiPriority w:val="99"/>
    <w:rPr>
      <w:sz w:val="20"/>
      <w:szCs w:val="20"/>
    </w:rPr>
  </w:style>
  <w:style w:type="paragraph" w:styleId="12">
    <w:name w:val="header"/>
    <w:basedOn w:val="1"/>
    <w:link w:val="25"/>
    <w:unhideWhenUsed/>
    <w:qFormat/>
    <w:uiPriority w:val="99"/>
    <w:pPr>
      <w:tabs>
        <w:tab w:val="center" w:pos="4677"/>
        <w:tab w:val="right" w:pos="9355"/>
      </w:tabs>
    </w:pPr>
  </w:style>
  <w:style w:type="paragraph" w:styleId="13">
    <w:name w:val="Body Text"/>
    <w:basedOn w:val="1"/>
    <w:link w:val="22"/>
    <w:qFormat/>
    <w:uiPriority w:val="0"/>
    <w:pPr>
      <w:jc w:val="center"/>
    </w:pPr>
    <w:rPr>
      <w:b/>
      <w:bCs/>
      <w:sz w:val="26"/>
    </w:rPr>
  </w:style>
  <w:style w:type="paragraph" w:styleId="14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5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eastAsia="ru-RU"/>
    </w:rPr>
  </w:style>
  <w:style w:type="character" w:customStyle="1" w:styleId="18">
    <w:name w:val="Заголовок 2 Знак"/>
    <w:basedOn w:val="4"/>
    <w:link w:val="3"/>
    <w:qFormat/>
    <w:uiPriority w:val="0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20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paragraph" w:customStyle="1" w:styleId="21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imes New Roman" w:cs="Tahoma"/>
      <w:sz w:val="20"/>
      <w:szCs w:val="20"/>
      <w:lang w:val="ru-RU" w:eastAsia="ru-RU" w:bidi="ar-SA"/>
    </w:rPr>
  </w:style>
  <w:style w:type="character" w:customStyle="1" w:styleId="22">
    <w:name w:val="Основной текст Знак"/>
    <w:basedOn w:val="4"/>
    <w:link w:val="13"/>
    <w:qFormat/>
    <w:uiPriority w:val="0"/>
    <w:rPr>
      <w:rFonts w:ascii="Times New Roman" w:hAnsi="Times New Roman" w:eastAsia="Times New Roman" w:cs="Times New Roman"/>
      <w:b/>
      <w:bCs/>
      <w:sz w:val="26"/>
      <w:szCs w:val="24"/>
      <w:lang w:eastAsia="ru-RU"/>
    </w:rPr>
  </w:style>
  <w:style w:type="character" w:customStyle="1" w:styleId="23">
    <w:name w:val="Текст выноски Знак"/>
    <w:basedOn w:val="4"/>
    <w:link w:val="10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24">
    <w:name w:val="List Paragraph"/>
    <w:basedOn w:val="1"/>
    <w:qFormat/>
    <w:uiPriority w:val="34"/>
    <w:pPr>
      <w:ind w:left="720"/>
      <w:contextualSpacing/>
    </w:pPr>
  </w:style>
  <w:style w:type="character" w:customStyle="1" w:styleId="25">
    <w:name w:val="Верхний колонтитул Знак"/>
    <w:basedOn w:val="4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6">
    <w:name w:val="Нижний колонтитул Знак"/>
    <w:basedOn w:val="4"/>
    <w:link w:val="1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28">
    <w:name w:val="Текст сноски Знак"/>
    <w:basedOn w:val="4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9">
    <w:name w:val="Основной текст_"/>
    <w:basedOn w:val="4"/>
    <w:link w:val="30"/>
    <w:qFormat/>
    <w:locked/>
    <w:uiPriority w:val="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1"/>
    <w:link w:val="29"/>
    <w:qFormat/>
    <w:uiPriority w:val="0"/>
    <w:pPr>
      <w:widowControl w:val="0"/>
      <w:shd w:val="clear" w:color="auto" w:fill="FFFFFF"/>
      <w:spacing w:after="360" w:line="734" w:lineRule="exact"/>
      <w:ind w:hanging="360"/>
      <w:jc w:val="both"/>
    </w:pPr>
    <w:rPr>
      <w:rFonts w:eastAsiaTheme="minorHAnsi"/>
      <w:sz w:val="26"/>
      <w:szCs w:val="26"/>
      <w:lang w:eastAsia="en-US"/>
    </w:rPr>
  </w:style>
  <w:style w:type="character" w:customStyle="1" w:styleId="31">
    <w:name w:val="Основной текст + Полужирный"/>
    <w:basedOn w:val="29"/>
    <w:qFormat/>
    <w:uiPriority w:val="99"/>
    <w:rPr>
      <w:rFonts w:ascii="Times New Roman" w:hAnsi="Times New Roman" w:cs="Times New Roman"/>
      <w:b/>
      <w:bCs/>
      <w:i/>
      <w:iCs/>
      <w:color w:val="000000"/>
      <w:spacing w:val="-3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2">
    <w:name w:val="Основной текст (5)_"/>
    <w:basedOn w:val="4"/>
    <w:link w:val="33"/>
    <w:qFormat/>
    <w:uiPriority w:val="0"/>
    <w:rPr>
      <w:rFonts w:ascii="Times New Roman" w:hAnsi="Times New Roman"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3">
    <w:name w:val="Основной текст (5)"/>
    <w:basedOn w:val="1"/>
    <w:link w:val="32"/>
    <w:qFormat/>
    <w:uiPriority w:val="0"/>
    <w:pPr>
      <w:widowControl w:val="0"/>
      <w:shd w:val="clear" w:color="auto" w:fill="FFFFFF"/>
      <w:spacing w:before="120" w:after="600" w:line="317" w:lineRule="exact"/>
      <w:jc w:val="both"/>
    </w:pPr>
    <w:rPr>
      <w:spacing w:val="3"/>
      <w:sz w:val="21"/>
      <w:szCs w:val="21"/>
      <w:lang w:eastAsia="en-US"/>
    </w:rPr>
  </w:style>
  <w:style w:type="paragraph" w:customStyle="1" w:styleId="34">
    <w:name w:val="headertext"/>
    <w:basedOn w:val="1"/>
    <w:qFormat/>
    <w:uiPriority w:val="0"/>
    <w:pPr>
      <w:spacing w:before="100" w:beforeAutospacing="1" w:after="100" w:afterAutospacing="1"/>
    </w:pPr>
  </w:style>
  <w:style w:type="table" w:customStyle="1" w:styleId="35">
    <w:name w:val="Сетка таблицы1"/>
    <w:basedOn w:val="5"/>
    <w:unhideWhenUsed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3135</Words>
  <Characters>17875</Characters>
  <Lines>148</Lines>
  <Paragraphs>41</Paragraphs>
  <TotalTime>161</TotalTime>
  <ScaleCrop>false</ScaleCrop>
  <LinksUpToDate>false</LinksUpToDate>
  <CharactersWithSpaces>20969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2025-04-18T13:47:00Z</dcterms:created>
  <dc:creator>Олеся Ю. Малинова</dc:creator>
  <cp:lastModifiedBy>kir441</cp:lastModifiedBy>
  <dcterms:modified xsi:type="dcterms:W3CDTF">2025-05-13T06:22:58Z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F54D1B1AD3DE45B895FC1E17E9E1460F</vt:lpwstr>
  </property>
</Properties>
</file>